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A35E4" w:rsidTr="00C102EB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1A35E4" w:rsidRPr="00632D68" w:rsidRDefault="001E0A2F" w:rsidP="00C102EB">
            <w:pPr>
              <w:pStyle w:val="NoSpacing"/>
              <w:rPr>
                <w:b/>
                <w:bCs w:val="0"/>
                <w:sz w:val="40"/>
                <w:szCs w:val="40"/>
              </w:rPr>
            </w:pPr>
            <w:bookmarkStart w:id="0" w:name="_GoBack"/>
            <w:r w:rsidRPr="001E0A2F">
              <w:rPr>
                <w:b/>
                <w:bCs w:val="0"/>
                <w:sz w:val="40"/>
                <w:szCs w:val="40"/>
              </w:rPr>
              <w:t>How to handle one order to a vendor for both p</w:t>
            </w:r>
            <w:r>
              <w:rPr>
                <w:b/>
                <w:bCs w:val="0"/>
                <w:sz w:val="40"/>
                <w:szCs w:val="40"/>
              </w:rPr>
              <w:t>hysical and electronic material</w:t>
            </w:r>
            <w:r w:rsidR="001E140A">
              <w:rPr>
                <w:b/>
                <w:bCs w:val="0"/>
                <w:sz w:val="40"/>
                <w:szCs w:val="40"/>
              </w:rPr>
              <w:t xml:space="preserve"> and link them together</w:t>
            </w:r>
            <w:bookmarkEnd w:id="0"/>
          </w:p>
        </w:tc>
        <w:tc>
          <w:tcPr>
            <w:tcW w:w="1866" w:type="dxa"/>
          </w:tcPr>
          <w:p w:rsidR="001A35E4" w:rsidRDefault="001A35E4" w:rsidP="00C102EB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0A3A627" wp14:editId="4129D90B">
                  <wp:extent cx="1043832" cy="561975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5E4" w:rsidRPr="004E16EB" w:rsidTr="00C102EB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:rsidR="001A35E4" w:rsidRPr="004E16EB" w:rsidRDefault="001A35E4" w:rsidP="00C102EB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7D7861A5" wp14:editId="0E46F14D">
                  <wp:extent cx="5486400" cy="105410"/>
                  <wp:effectExtent l="0" t="0" r="0" b="889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5E4" w:rsidRDefault="001A35E4" w:rsidP="00622FA6">
      <w:pPr>
        <w:pStyle w:val="NoSpacing"/>
        <w:rPr>
          <w:b/>
          <w:bCs/>
        </w:rPr>
      </w:pPr>
    </w:p>
    <w:p w:rsidR="00DE293A" w:rsidRPr="00877BB4" w:rsidRDefault="00622FA6" w:rsidP="00622FA6">
      <w:pPr>
        <w:pStyle w:val="NoSpacing"/>
        <w:rPr>
          <w:b/>
          <w:bCs/>
        </w:rPr>
      </w:pPr>
      <w:r w:rsidRPr="00877BB4">
        <w:rPr>
          <w:b/>
          <w:bCs/>
        </w:rPr>
        <w:t>Question:</w:t>
      </w:r>
    </w:p>
    <w:p w:rsidR="00622FA6" w:rsidRDefault="00622FA6" w:rsidP="00622FA6">
      <w:pPr>
        <w:pStyle w:val="NoSpacing"/>
      </w:pPr>
      <w:r>
        <w:t>I</w:t>
      </w:r>
      <w:r w:rsidRPr="00622FA6">
        <w:t>s it possible in Alma to have a single order that is defined as both print and electronic at the same time?</w:t>
      </w:r>
    </w:p>
    <w:p w:rsidR="00622FA6" w:rsidRDefault="00622FA6" w:rsidP="00622FA6">
      <w:pPr>
        <w:pStyle w:val="NoSpacing"/>
      </w:pPr>
    </w:p>
    <w:p w:rsidR="00622FA6" w:rsidRPr="00877BB4" w:rsidRDefault="00622FA6" w:rsidP="00622FA6">
      <w:pPr>
        <w:pStyle w:val="NoSpacing"/>
        <w:rPr>
          <w:b/>
          <w:bCs/>
        </w:rPr>
      </w:pPr>
      <w:r w:rsidRPr="00877BB4">
        <w:rPr>
          <w:b/>
          <w:bCs/>
        </w:rPr>
        <w:t>Answer:</w:t>
      </w:r>
    </w:p>
    <w:p w:rsidR="005D4EAE" w:rsidRDefault="005D4EAE" w:rsidP="00622FA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It is possible </w:t>
      </w:r>
      <w:r w:rsidR="00B323D9">
        <w:rPr>
          <w:rFonts w:asciiTheme="minorHAnsi" w:hAnsiTheme="minorHAnsi" w:cstheme="minorBidi"/>
        </w:rPr>
        <w:t>to</w:t>
      </w:r>
      <w:r>
        <w:rPr>
          <w:rFonts w:asciiTheme="minorHAnsi" w:hAnsiTheme="minorHAnsi" w:cstheme="minorBidi"/>
        </w:rPr>
        <w:t xml:space="preserve"> handle this type of order using associated PO lines.</w:t>
      </w:r>
    </w:p>
    <w:p w:rsidR="00622FA6" w:rsidRDefault="005D4EAE" w:rsidP="005D4EA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 Alma each</w:t>
      </w:r>
      <w:r w:rsidR="00622FA6" w:rsidRPr="00622FA6">
        <w:rPr>
          <w:rFonts w:asciiTheme="minorHAnsi" w:hAnsiTheme="minorHAnsi" w:cstheme="minorBidi"/>
        </w:rPr>
        <w:t xml:space="preserve"> order is given one POL type and the one POL type corresponds to </w:t>
      </w:r>
      <w:r w:rsidR="00B34C85">
        <w:rPr>
          <w:rFonts w:asciiTheme="minorHAnsi" w:hAnsiTheme="minorHAnsi" w:cstheme="minorBidi"/>
        </w:rPr>
        <w:t>one type of inventory</w:t>
      </w:r>
      <w:r w:rsidR="00622FA6" w:rsidRPr="00622FA6">
        <w:rPr>
          <w:rFonts w:asciiTheme="minorHAnsi" w:hAnsiTheme="minorHAnsi" w:cstheme="minorBidi"/>
        </w:rPr>
        <w:t>.</w:t>
      </w:r>
      <w:r w:rsidR="00622FA6">
        <w:rPr>
          <w:rFonts w:asciiTheme="minorHAnsi" w:hAnsiTheme="minorHAnsi" w:cstheme="minorBidi"/>
        </w:rPr>
        <w:t xml:space="preserve">  </w:t>
      </w:r>
      <w:r w:rsidR="00622FA6" w:rsidRPr="00622FA6">
        <w:rPr>
          <w:rFonts w:asciiTheme="minorHAnsi" w:hAnsiTheme="minorHAnsi" w:cstheme="minorBidi"/>
        </w:rPr>
        <w:t>However, if one payment is made for both print and electronic then it is considered best practice to</w:t>
      </w:r>
      <w:r w:rsidR="00622FA6">
        <w:rPr>
          <w:rFonts w:asciiTheme="minorHAnsi" w:hAnsiTheme="minorHAnsi" w:cstheme="minorBidi"/>
        </w:rPr>
        <w:t xml:space="preserve"> do as follows</w:t>
      </w:r>
      <w:r w:rsidR="00B34C85">
        <w:rPr>
          <w:rFonts w:asciiTheme="minorHAnsi" w:hAnsiTheme="minorHAnsi" w:cstheme="minorBidi"/>
        </w:rPr>
        <w:t>, which will create ‘Associate</w:t>
      </w:r>
      <w:r w:rsidR="0034115D">
        <w:rPr>
          <w:rFonts w:asciiTheme="minorHAnsi" w:hAnsiTheme="minorHAnsi" w:cstheme="minorBidi"/>
        </w:rPr>
        <w:t>d</w:t>
      </w:r>
      <w:r w:rsidR="00B34C85">
        <w:rPr>
          <w:rFonts w:asciiTheme="minorHAnsi" w:hAnsiTheme="minorHAnsi" w:cstheme="minorBidi"/>
        </w:rPr>
        <w:t xml:space="preserve"> PO Lines’</w:t>
      </w:r>
      <w:r w:rsidR="00622FA6">
        <w:rPr>
          <w:rFonts w:asciiTheme="minorHAnsi" w:hAnsiTheme="minorHAnsi" w:cstheme="minorBidi"/>
        </w:rPr>
        <w:t>:</w:t>
      </w:r>
    </w:p>
    <w:p w:rsidR="00767DA2" w:rsidRDefault="00767DA2" w:rsidP="00622FA6">
      <w:pPr>
        <w:rPr>
          <w:rFonts w:asciiTheme="minorHAnsi" w:hAnsiTheme="minorHAnsi" w:cstheme="minorBidi"/>
        </w:rPr>
      </w:pPr>
    </w:p>
    <w:p w:rsidR="00767DA2" w:rsidRDefault="00767DA2" w:rsidP="00767DA2">
      <w:pPr>
        <w:rPr>
          <w:rFonts w:asciiTheme="minorHAnsi" w:hAnsiTheme="minorHAnsi" w:cstheme="minorBidi"/>
          <w:b/>
          <w:bCs/>
        </w:rPr>
      </w:pPr>
      <w:r w:rsidRPr="00767DA2">
        <w:rPr>
          <w:rFonts w:asciiTheme="minorHAnsi" w:hAnsiTheme="minorHAnsi" w:cstheme="minorBidi"/>
          <w:b/>
          <w:bCs/>
        </w:rPr>
        <w:t xml:space="preserve">If using the </w:t>
      </w:r>
      <w:r w:rsidRPr="00767DA2">
        <w:rPr>
          <w:rFonts w:asciiTheme="minorHAnsi" w:hAnsiTheme="minorHAnsi" w:cstheme="minorBidi"/>
          <w:b/>
          <w:bCs/>
          <w:u w:val="single"/>
        </w:rPr>
        <w:t>same</w:t>
      </w:r>
      <w:r w:rsidRPr="00767DA2">
        <w:rPr>
          <w:rFonts w:asciiTheme="minorHAnsi" w:hAnsiTheme="minorHAnsi" w:cstheme="minorBidi"/>
          <w:b/>
          <w:bCs/>
        </w:rPr>
        <w:t xml:space="preserve"> bibliographic record for both orders and </w:t>
      </w:r>
      <w:r>
        <w:rPr>
          <w:rFonts w:asciiTheme="minorHAnsi" w:hAnsiTheme="minorHAnsi" w:cstheme="minorBidi"/>
          <w:b/>
          <w:bCs/>
        </w:rPr>
        <w:t xml:space="preserve">corresponding </w:t>
      </w:r>
      <w:r w:rsidRPr="00767DA2">
        <w:rPr>
          <w:rFonts w:asciiTheme="minorHAnsi" w:hAnsiTheme="minorHAnsi" w:cstheme="minorBidi"/>
          <w:b/>
          <w:bCs/>
        </w:rPr>
        <w:t>type of inventory</w:t>
      </w:r>
      <w:r>
        <w:rPr>
          <w:rFonts w:asciiTheme="minorHAnsi" w:hAnsiTheme="minorHAnsi" w:cstheme="minorBidi"/>
          <w:b/>
          <w:bCs/>
        </w:rPr>
        <w:t>:</w:t>
      </w:r>
    </w:p>
    <w:p w:rsidR="0069185C" w:rsidRDefault="00622FA6" w:rsidP="0069185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22FA6">
        <w:rPr>
          <w:rFonts w:asciiTheme="minorHAnsi" w:hAnsiTheme="minorHAnsi" w:cstheme="minorBidi"/>
        </w:rPr>
        <w:t xml:space="preserve">Make order 'A' on one of the types (for example </w:t>
      </w:r>
      <w:r w:rsidR="0069185C">
        <w:rPr>
          <w:rFonts w:asciiTheme="minorHAnsi" w:hAnsiTheme="minorHAnsi" w:cstheme="minorBidi"/>
        </w:rPr>
        <w:t>Purchase Type = Physical One Time)</w:t>
      </w:r>
    </w:p>
    <w:p w:rsidR="00622FA6" w:rsidRPr="00622FA6" w:rsidRDefault="0069185C" w:rsidP="0069185C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</w:t>
      </w:r>
      <w:r w:rsidR="00622FA6" w:rsidRPr="00622FA6">
        <w:rPr>
          <w:rFonts w:asciiTheme="minorHAnsi" w:hAnsiTheme="minorHAnsi" w:cstheme="minorBidi"/>
        </w:rPr>
        <w:t>ave payment information in the order.</w:t>
      </w:r>
      <w:r>
        <w:rPr>
          <w:rFonts w:asciiTheme="minorHAnsi" w:hAnsiTheme="minorHAnsi" w:cstheme="minorBidi"/>
        </w:rPr>
        <w:t xml:space="preserve">  This will be </w:t>
      </w:r>
      <w:r w:rsidRPr="0069185C">
        <w:rPr>
          <w:rFonts w:asciiTheme="minorHAnsi" w:hAnsiTheme="minorHAnsi" w:cstheme="minorBidi"/>
        </w:rPr>
        <w:t>Acquisition Method ‘Purchase’</w:t>
      </w:r>
    </w:p>
    <w:p w:rsidR="007814F6" w:rsidRDefault="00BF5210" w:rsidP="00BF521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Using same bibliographic record m</w:t>
      </w:r>
      <w:r w:rsidR="00622FA6" w:rsidRPr="0069185C">
        <w:rPr>
          <w:rFonts w:asciiTheme="minorHAnsi" w:hAnsiTheme="minorHAnsi" w:cstheme="minorBidi"/>
        </w:rPr>
        <w:t xml:space="preserve">ake an additional order 'B' for the other order type (for example electronic) and have this order be of </w:t>
      </w:r>
      <w:r w:rsidR="0069185C" w:rsidRPr="0069185C">
        <w:rPr>
          <w:rFonts w:asciiTheme="minorHAnsi" w:hAnsiTheme="minorHAnsi" w:cstheme="minorBidi"/>
        </w:rPr>
        <w:t xml:space="preserve">an electronic </w:t>
      </w:r>
      <w:r w:rsidR="00622FA6" w:rsidRPr="0069185C">
        <w:rPr>
          <w:rFonts w:asciiTheme="minorHAnsi" w:hAnsiTheme="minorHAnsi" w:cstheme="minorBidi"/>
        </w:rPr>
        <w:t xml:space="preserve">type </w:t>
      </w:r>
      <w:r w:rsidR="0069185C" w:rsidRPr="00622FA6">
        <w:rPr>
          <w:rFonts w:asciiTheme="minorHAnsi" w:hAnsiTheme="minorHAnsi" w:cstheme="minorBidi"/>
        </w:rPr>
        <w:t xml:space="preserve">(for example </w:t>
      </w:r>
      <w:r w:rsidR="0069185C">
        <w:rPr>
          <w:rFonts w:asciiTheme="minorHAnsi" w:hAnsiTheme="minorHAnsi" w:cstheme="minorBidi"/>
        </w:rPr>
        <w:t xml:space="preserve">Purchase Type = </w:t>
      </w:r>
      <w:r w:rsidR="007814F6">
        <w:rPr>
          <w:rFonts w:asciiTheme="minorHAnsi" w:hAnsiTheme="minorHAnsi" w:cstheme="minorBidi"/>
        </w:rPr>
        <w:t>Electronic title</w:t>
      </w:r>
      <w:r w:rsidR="0069185C">
        <w:rPr>
          <w:rFonts w:asciiTheme="minorHAnsi" w:hAnsiTheme="minorHAnsi" w:cstheme="minorBidi"/>
        </w:rPr>
        <w:t xml:space="preserve"> One Time</w:t>
      </w:r>
      <w:r w:rsidR="0069185C" w:rsidRPr="00622FA6">
        <w:rPr>
          <w:rFonts w:asciiTheme="minorHAnsi" w:hAnsiTheme="minorHAnsi" w:cstheme="minorBidi"/>
        </w:rPr>
        <w:t>)</w:t>
      </w:r>
      <w:r w:rsidR="007814F6">
        <w:rPr>
          <w:rFonts w:asciiTheme="minorHAnsi" w:hAnsiTheme="minorHAnsi" w:cstheme="minorBidi"/>
        </w:rPr>
        <w:t>.</w:t>
      </w:r>
    </w:p>
    <w:p w:rsidR="00BF5210" w:rsidRPr="00BF5210" w:rsidRDefault="007814F6" w:rsidP="0034115D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lang w:val="en-GB"/>
        </w:rPr>
        <w:t>Have no fund or payment information in order</w:t>
      </w:r>
      <w:r w:rsidR="0034115D">
        <w:rPr>
          <w:rFonts w:asciiTheme="minorHAnsi" w:hAnsiTheme="minorHAnsi" w:cstheme="minorBidi"/>
          <w:lang w:val="en-GB"/>
        </w:rPr>
        <w:t xml:space="preserve"> ‘B’</w:t>
      </w:r>
      <w:r>
        <w:rPr>
          <w:rFonts w:asciiTheme="minorHAnsi" w:hAnsiTheme="minorHAnsi" w:cstheme="minorBidi"/>
          <w:lang w:val="en-GB"/>
        </w:rPr>
        <w:t xml:space="preserve">.  </w:t>
      </w:r>
    </w:p>
    <w:p w:rsidR="007814F6" w:rsidRPr="007814F6" w:rsidRDefault="007814F6" w:rsidP="007814F6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lang w:val="en-GB"/>
        </w:rPr>
        <w:t xml:space="preserve">Use the same supplier (vendor) as order ‘A’.  </w:t>
      </w:r>
    </w:p>
    <w:p w:rsidR="007814F6" w:rsidRDefault="007814F6" w:rsidP="007814F6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Have Acquisition Method be ‘Technical’</w:t>
      </w:r>
      <w:r w:rsidR="0069185C" w:rsidRPr="00622FA6">
        <w:rPr>
          <w:rFonts w:asciiTheme="minorHAnsi" w:hAnsiTheme="minorHAnsi" w:cstheme="minorBidi"/>
        </w:rPr>
        <w:t xml:space="preserve"> </w:t>
      </w:r>
    </w:p>
    <w:p w:rsidR="00622FA6" w:rsidRDefault="00BF5210" w:rsidP="00BF521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Switch to the ‘Associated PO Lines’ tab of either order and see that Alma has </w:t>
      </w:r>
      <w:r w:rsidRPr="00BF5210">
        <w:rPr>
          <w:rFonts w:asciiTheme="minorHAnsi" w:hAnsiTheme="minorHAnsi" w:cstheme="minorBidi"/>
          <w:b/>
          <w:bCs/>
          <w:u w:val="single"/>
        </w:rPr>
        <w:t>automatically</w:t>
      </w:r>
      <w:r>
        <w:rPr>
          <w:rFonts w:asciiTheme="minorHAnsi" w:hAnsiTheme="minorHAnsi" w:cstheme="minorBidi"/>
        </w:rPr>
        <w:t xml:space="preserve"> linked each of the Purchase Order Lines.</w:t>
      </w:r>
    </w:p>
    <w:p w:rsidR="00BF5210" w:rsidRDefault="00BF5210" w:rsidP="00BF521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‘Physical One Time’ is linked to the ‘Electronic title One Time’ and appears in the ‘Associated PO Lines’ tab</w:t>
      </w:r>
    </w:p>
    <w:p w:rsidR="00BF5210" w:rsidRPr="00BF5210" w:rsidRDefault="00BF5210" w:rsidP="00BF521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‘Electronic title One Time’ is linked to the ‘Physical One Time’ and appears in the ‘Associated PO Lines’ tab</w:t>
      </w:r>
    </w:p>
    <w:p w:rsidR="00622FA6" w:rsidRDefault="00622FA6" w:rsidP="00622FA6">
      <w:pPr>
        <w:pStyle w:val="NoSpacing"/>
      </w:pPr>
    </w:p>
    <w:p w:rsidR="00767DA2" w:rsidRDefault="00767DA2" w:rsidP="00767DA2">
      <w:pPr>
        <w:rPr>
          <w:rFonts w:asciiTheme="minorHAnsi" w:hAnsiTheme="minorHAnsi" w:cstheme="minorBidi"/>
          <w:b/>
          <w:bCs/>
        </w:rPr>
      </w:pPr>
      <w:r w:rsidRPr="00767DA2">
        <w:rPr>
          <w:rFonts w:asciiTheme="minorHAnsi" w:hAnsiTheme="minorHAnsi" w:cstheme="minorBidi"/>
          <w:b/>
          <w:bCs/>
        </w:rPr>
        <w:t xml:space="preserve">If using </w:t>
      </w:r>
      <w:r w:rsidRPr="00767DA2">
        <w:rPr>
          <w:rFonts w:asciiTheme="minorHAnsi" w:hAnsiTheme="minorHAnsi" w:cstheme="minorBidi"/>
          <w:b/>
          <w:bCs/>
          <w:u w:val="single"/>
        </w:rPr>
        <w:t>different</w:t>
      </w:r>
      <w:r>
        <w:rPr>
          <w:rFonts w:asciiTheme="minorHAnsi" w:hAnsiTheme="minorHAnsi" w:cstheme="minorBidi"/>
          <w:b/>
          <w:bCs/>
        </w:rPr>
        <w:t xml:space="preserve"> bibliographic records </w:t>
      </w:r>
      <w:r w:rsidRPr="00767DA2">
        <w:rPr>
          <w:rFonts w:asciiTheme="minorHAnsi" w:hAnsiTheme="minorHAnsi" w:cstheme="minorBidi"/>
          <w:b/>
          <w:bCs/>
        </w:rPr>
        <w:t xml:space="preserve">for </w:t>
      </w:r>
      <w:r>
        <w:rPr>
          <w:rFonts w:asciiTheme="minorHAnsi" w:hAnsiTheme="minorHAnsi" w:cstheme="minorBidi"/>
          <w:b/>
          <w:bCs/>
        </w:rPr>
        <w:t>both</w:t>
      </w:r>
      <w:r w:rsidRPr="00767DA2">
        <w:rPr>
          <w:rFonts w:asciiTheme="minorHAnsi" w:hAnsiTheme="minorHAnsi" w:cstheme="minorBidi"/>
          <w:b/>
          <w:bCs/>
        </w:rPr>
        <w:t xml:space="preserve"> orders and </w:t>
      </w:r>
      <w:r>
        <w:rPr>
          <w:rFonts w:asciiTheme="minorHAnsi" w:hAnsiTheme="minorHAnsi" w:cstheme="minorBidi"/>
          <w:b/>
          <w:bCs/>
        </w:rPr>
        <w:t xml:space="preserve">corresponding </w:t>
      </w:r>
      <w:r w:rsidRPr="00767DA2">
        <w:rPr>
          <w:rFonts w:asciiTheme="minorHAnsi" w:hAnsiTheme="minorHAnsi" w:cstheme="minorBidi"/>
          <w:b/>
          <w:bCs/>
        </w:rPr>
        <w:t>type of inventory</w:t>
      </w:r>
      <w:r>
        <w:rPr>
          <w:rFonts w:asciiTheme="minorHAnsi" w:hAnsiTheme="minorHAnsi" w:cstheme="minorBidi"/>
          <w:b/>
          <w:bCs/>
        </w:rPr>
        <w:t>:</w:t>
      </w:r>
    </w:p>
    <w:p w:rsidR="00767DA2" w:rsidRDefault="00767DA2" w:rsidP="00767DA2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00622FA6">
        <w:rPr>
          <w:rFonts w:asciiTheme="minorHAnsi" w:hAnsiTheme="minorHAnsi" w:cstheme="minorBidi"/>
        </w:rPr>
        <w:t xml:space="preserve">Make order 'A' on one of the types (for example </w:t>
      </w:r>
      <w:r>
        <w:rPr>
          <w:rFonts w:asciiTheme="minorHAnsi" w:hAnsiTheme="minorHAnsi" w:cstheme="minorBidi"/>
        </w:rPr>
        <w:t>Purchase Type = Physical One Time)</w:t>
      </w:r>
    </w:p>
    <w:p w:rsidR="00767DA2" w:rsidRPr="00622FA6" w:rsidRDefault="00767DA2" w:rsidP="00767DA2">
      <w:pPr>
        <w:pStyle w:val="ListParagraph"/>
        <w:numPr>
          <w:ilvl w:val="1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</w:t>
      </w:r>
      <w:r w:rsidRPr="00622FA6">
        <w:rPr>
          <w:rFonts w:asciiTheme="minorHAnsi" w:hAnsiTheme="minorHAnsi" w:cstheme="minorBidi"/>
        </w:rPr>
        <w:t>ave payment information in the order.</w:t>
      </w:r>
      <w:r>
        <w:rPr>
          <w:rFonts w:asciiTheme="minorHAnsi" w:hAnsiTheme="minorHAnsi" w:cstheme="minorBidi"/>
        </w:rPr>
        <w:t xml:space="preserve">  This will be </w:t>
      </w:r>
      <w:r w:rsidRPr="0069185C">
        <w:rPr>
          <w:rFonts w:asciiTheme="minorHAnsi" w:hAnsiTheme="minorHAnsi" w:cstheme="minorBidi"/>
        </w:rPr>
        <w:t>Acquisition Method ‘Purchase’</w:t>
      </w:r>
    </w:p>
    <w:p w:rsidR="00767DA2" w:rsidRDefault="00767DA2" w:rsidP="00767DA2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Using different  bibliographic record m</w:t>
      </w:r>
      <w:r w:rsidRPr="0069185C">
        <w:rPr>
          <w:rFonts w:asciiTheme="minorHAnsi" w:hAnsiTheme="minorHAnsi" w:cstheme="minorBidi"/>
        </w:rPr>
        <w:t xml:space="preserve">ake an additional order 'B' for the other order type (for example electronic) and have this order be of an electronic type </w:t>
      </w:r>
      <w:r w:rsidRPr="00622FA6">
        <w:rPr>
          <w:rFonts w:asciiTheme="minorHAnsi" w:hAnsiTheme="minorHAnsi" w:cstheme="minorBidi"/>
        </w:rPr>
        <w:t xml:space="preserve">(for example </w:t>
      </w:r>
      <w:r>
        <w:rPr>
          <w:rFonts w:asciiTheme="minorHAnsi" w:hAnsiTheme="minorHAnsi" w:cstheme="minorBidi"/>
        </w:rPr>
        <w:t>Purchase Type = Electronic title One Time</w:t>
      </w:r>
      <w:r w:rsidRPr="00622FA6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.</w:t>
      </w:r>
    </w:p>
    <w:p w:rsidR="00767DA2" w:rsidRPr="00BF5210" w:rsidRDefault="00767DA2" w:rsidP="00767DA2">
      <w:pPr>
        <w:pStyle w:val="ListParagraph"/>
        <w:numPr>
          <w:ilvl w:val="1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lang w:val="en-GB"/>
        </w:rPr>
        <w:t xml:space="preserve">Have no fund or payment information in the order.  </w:t>
      </w:r>
    </w:p>
    <w:p w:rsidR="00767DA2" w:rsidRPr="007814F6" w:rsidRDefault="00767DA2" w:rsidP="00767DA2">
      <w:pPr>
        <w:pStyle w:val="ListParagraph"/>
        <w:numPr>
          <w:ilvl w:val="1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lang w:val="en-GB"/>
        </w:rPr>
        <w:t xml:space="preserve">Use the same supplier (vendor) as order ‘A’.  </w:t>
      </w:r>
    </w:p>
    <w:p w:rsidR="00767DA2" w:rsidRDefault="00767DA2" w:rsidP="00767DA2">
      <w:pPr>
        <w:pStyle w:val="ListParagraph"/>
        <w:numPr>
          <w:ilvl w:val="1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Have Acquisition Method be ‘Technical’</w:t>
      </w:r>
      <w:r w:rsidRPr="00622FA6">
        <w:rPr>
          <w:rFonts w:asciiTheme="minorHAnsi" w:hAnsiTheme="minorHAnsi" w:cstheme="minorBidi"/>
        </w:rPr>
        <w:t xml:space="preserve"> </w:t>
      </w:r>
    </w:p>
    <w:p w:rsidR="00767DA2" w:rsidRDefault="00767DA2" w:rsidP="0034115D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 the ‘Summary’ tab order</w:t>
      </w:r>
      <w:r w:rsidR="0034115D">
        <w:rPr>
          <w:rFonts w:asciiTheme="minorHAnsi" w:hAnsiTheme="minorHAnsi" w:cstheme="minorBidi"/>
        </w:rPr>
        <w:t xml:space="preserve"> ‘B’ </w:t>
      </w:r>
      <w:r>
        <w:rPr>
          <w:rFonts w:asciiTheme="minorHAnsi" w:hAnsiTheme="minorHAnsi" w:cstheme="minorBidi"/>
        </w:rPr>
        <w:t xml:space="preserve">scroll down to the ‘Additional’ section and in the ‘Associated PO Lines’ field choose the related PO Line with different inventory type (in the case </w:t>
      </w:r>
      <w:r w:rsidRPr="00622FA6">
        <w:rPr>
          <w:rFonts w:asciiTheme="minorHAnsi" w:hAnsiTheme="minorHAnsi" w:cstheme="minorBidi"/>
        </w:rPr>
        <w:t>order 'A'</w:t>
      </w:r>
      <w:r>
        <w:rPr>
          <w:rFonts w:asciiTheme="minorHAnsi" w:hAnsiTheme="minorHAnsi" w:cstheme="minorBidi"/>
        </w:rPr>
        <w:t>)</w:t>
      </w:r>
    </w:p>
    <w:p w:rsidR="0034115D" w:rsidRDefault="0034115D" w:rsidP="0034115D">
      <w:pPr>
        <w:pStyle w:val="ListParagraph"/>
        <w:numPr>
          <w:ilvl w:val="1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If desired you can also do the same from order ‘A’ and link it to order ‘B’ </w:t>
      </w:r>
    </w:p>
    <w:p w:rsidR="00767DA2" w:rsidRDefault="00767DA2" w:rsidP="0034115D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Switch to the ‘Associated PO Lines’ tab of either order and see that Alma has linked the Purchase Order Lines.</w:t>
      </w:r>
    </w:p>
    <w:p w:rsidR="00767DA2" w:rsidRDefault="00767DA2" w:rsidP="00622FA6">
      <w:pPr>
        <w:pStyle w:val="NoSpacing"/>
      </w:pPr>
    </w:p>
    <w:p w:rsidR="00767DA2" w:rsidRDefault="00767DA2" w:rsidP="00767DA2">
      <w:pPr>
        <w:rPr>
          <w:rFonts w:asciiTheme="minorHAnsi" w:hAnsiTheme="minorHAnsi" w:cstheme="minorBidi"/>
          <w:b/>
          <w:bCs/>
        </w:rPr>
      </w:pPr>
      <w:r w:rsidRPr="00767DA2">
        <w:rPr>
          <w:rFonts w:asciiTheme="minorHAnsi" w:hAnsiTheme="minorHAnsi" w:cstheme="minorBidi"/>
          <w:b/>
          <w:bCs/>
        </w:rPr>
        <w:t xml:space="preserve">If using the </w:t>
      </w:r>
      <w:r w:rsidRPr="00767DA2">
        <w:rPr>
          <w:rFonts w:asciiTheme="minorHAnsi" w:hAnsiTheme="minorHAnsi" w:cstheme="minorBidi"/>
          <w:b/>
          <w:bCs/>
          <w:u w:val="single"/>
        </w:rPr>
        <w:t>same</w:t>
      </w:r>
      <w:r w:rsidRPr="00767DA2">
        <w:rPr>
          <w:rFonts w:asciiTheme="minorHAnsi" w:hAnsiTheme="minorHAnsi" w:cstheme="minorBidi"/>
          <w:b/>
          <w:bCs/>
        </w:rPr>
        <w:t xml:space="preserve"> bibliographic record for both orders and </w:t>
      </w:r>
      <w:r>
        <w:rPr>
          <w:rFonts w:asciiTheme="minorHAnsi" w:hAnsiTheme="minorHAnsi" w:cstheme="minorBidi"/>
          <w:b/>
          <w:bCs/>
        </w:rPr>
        <w:t xml:space="preserve">corresponding </w:t>
      </w:r>
      <w:r w:rsidRPr="00767DA2">
        <w:rPr>
          <w:rFonts w:asciiTheme="minorHAnsi" w:hAnsiTheme="minorHAnsi" w:cstheme="minorBidi"/>
          <w:b/>
          <w:bCs/>
        </w:rPr>
        <w:t>types of inventory</w:t>
      </w:r>
      <w:r>
        <w:rPr>
          <w:rFonts w:asciiTheme="minorHAnsi" w:hAnsiTheme="minorHAnsi" w:cstheme="minorBidi"/>
          <w:b/>
          <w:bCs/>
        </w:rPr>
        <w:t>:</w:t>
      </w:r>
    </w:p>
    <w:p w:rsidR="00622FA6" w:rsidRDefault="00622FA6" w:rsidP="00622FA6">
      <w:pPr>
        <w:pStyle w:val="NoSpacing"/>
      </w:pPr>
    </w:p>
    <w:p w:rsidR="00622FA6" w:rsidRDefault="00622FA6" w:rsidP="00B341B5">
      <w:pPr>
        <w:pStyle w:val="NoSpacing"/>
      </w:pPr>
      <w:r>
        <w:t>In the following example we are ordering record</w:t>
      </w:r>
      <w:r w:rsidR="0069185C">
        <w:t xml:space="preserve"> MMSID </w:t>
      </w:r>
      <w:r w:rsidR="00B341B5">
        <w:t>99119210900121</w:t>
      </w:r>
      <w:r w:rsidR="00B341B5">
        <w:t xml:space="preserve"> </w:t>
      </w:r>
      <w:r w:rsidR="0069185C">
        <w:t>Title</w:t>
      </w:r>
      <w:r>
        <w:t xml:space="preserve"> “</w:t>
      </w:r>
      <w:r w:rsidR="00B341B5">
        <w:rPr>
          <w:rStyle w:val="Strong"/>
        </w:rPr>
        <w:t xml:space="preserve">Daughters of </w:t>
      </w:r>
      <w:proofErr w:type="gramStart"/>
      <w:r w:rsidR="00B341B5">
        <w:rPr>
          <w:rStyle w:val="Strong"/>
        </w:rPr>
        <w:t>earth :</w:t>
      </w:r>
      <w:proofErr w:type="gramEnd"/>
      <w:r w:rsidR="00B341B5">
        <w:rPr>
          <w:rStyle w:val="Strong"/>
        </w:rPr>
        <w:t xml:space="preserve"> feminist science fi</w:t>
      </w:r>
      <w:r w:rsidR="00B341B5">
        <w:rPr>
          <w:rStyle w:val="Strong"/>
        </w:rPr>
        <w:t>ction in the twentieth century</w:t>
      </w:r>
      <w:r>
        <w:t>”.  We have one order (and one corresponding payment</w:t>
      </w:r>
      <w:proofErr w:type="gramStart"/>
      <w:r>
        <w:t xml:space="preserve">)  </w:t>
      </w:r>
      <w:r w:rsidR="0069185C">
        <w:t>to</w:t>
      </w:r>
      <w:proofErr w:type="gramEnd"/>
      <w:r w:rsidR="0069185C">
        <w:t xml:space="preserve"> vendor ‘J &amp; S Ltd.’</w:t>
      </w:r>
    </w:p>
    <w:p w:rsidR="00622FA6" w:rsidRDefault="00622FA6" w:rsidP="00622FA6">
      <w:pPr>
        <w:pStyle w:val="NoSpacing"/>
      </w:pPr>
    </w:p>
    <w:p w:rsidR="00622FA6" w:rsidRPr="00877BB4" w:rsidRDefault="00622FA6" w:rsidP="00622FA6">
      <w:pPr>
        <w:pStyle w:val="NoSpacing"/>
        <w:rPr>
          <w:b/>
          <w:bCs/>
        </w:rPr>
      </w:pPr>
      <w:r w:rsidRPr="00877BB4">
        <w:rPr>
          <w:b/>
          <w:bCs/>
        </w:rPr>
        <w:t>ONE</w:t>
      </w:r>
    </w:p>
    <w:p w:rsidR="00622FA6" w:rsidRDefault="00622FA6" w:rsidP="00622FA6">
      <w:pPr>
        <w:pStyle w:val="NoSpacing"/>
      </w:pPr>
      <w:r>
        <w:t xml:space="preserve">Create first order for </w:t>
      </w:r>
      <w:r w:rsidR="0069185C">
        <w:t xml:space="preserve">purchase </w:t>
      </w:r>
      <w:r>
        <w:t xml:space="preserve">type </w:t>
      </w:r>
      <w:r w:rsidR="0069185C">
        <w:t>‘Physical One Time’</w:t>
      </w:r>
    </w:p>
    <w:p w:rsidR="0069185C" w:rsidRDefault="0069185C" w:rsidP="00622FA6">
      <w:pPr>
        <w:pStyle w:val="NoSpacing"/>
      </w:pPr>
    </w:p>
    <w:p w:rsidR="0069185C" w:rsidRDefault="00B341B5" w:rsidP="00622FA6">
      <w:pPr>
        <w:pStyle w:val="NoSpacing"/>
      </w:pPr>
      <w:r>
        <w:rPr>
          <w:noProof/>
        </w:rPr>
        <w:drawing>
          <wp:inline distT="0" distB="0" distL="0" distR="0">
            <wp:extent cx="6344920" cy="2632075"/>
            <wp:effectExtent l="19050" t="19050" r="17780" b="158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2632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185C" w:rsidRDefault="0069185C" w:rsidP="00622FA6">
      <w:pPr>
        <w:pStyle w:val="NoSpacing"/>
      </w:pPr>
    </w:p>
    <w:p w:rsidR="0069185C" w:rsidRPr="00877BB4" w:rsidRDefault="0069185C" w:rsidP="00622FA6">
      <w:pPr>
        <w:pStyle w:val="NoSpacing"/>
        <w:rPr>
          <w:b/>
          <w:bCs/>
        </w:rPr>
      </w:pPr>
      <w:r w:rsidRPr="00877BB4">
        <w:rPr>
          <w:b/>
          <w:bCs/>
        </w:rPr>
        <w:t>TWO</w:t>
      </w:r>
    </w:p>
    <w:p w:rsidR="0069185C" w:rsidRDefault="0069185C" w:rsidP="0069185C">
      <w:pPr>
        <w:pStyle w:val="NoSpacing"/>
      </w:pPr>
      <w:r>
        <w:t>In the PO Line Details choose Acquisition Method ‘Purchase’</w:t>
      </w:r>
    </w:p>
    <w:p w:rsidR="0069185C" w:rsidRDefault="0069185C" w:rsidP="00622FA6">
      <w:pPr>
        <w:pStyle w:val="NoSpacing"/>
      </w:pPr>
    </w:p>
    <w:p w:rsidR="0069185C" w:rsidRDefault="00B341B5" w:rsidP="00622FA6">
      <w:pPr>
        <w:pStyle w:val="NoSpacing"/>
      </w:pPr>
      <w:r>
        <w:rPr>
          <w:noProof/>
        </w:rPr>
        <w:drawing>
          <wp:inline distT="0" distB="0" distL="0" distR="0">
            <wp:extent cx="2576195" cy="739775"/>
            <wp:effectExtent l="19050" t="19050" r="14605" b="222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73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77BB4" w:rsidRDefault="00877BB4" w:rsidP="00622FA6">
      <w:pPr>
        <w:pStyle w:val="NoSpacing"/>
      </w:pPr>
    </w:p>
    <w:p w:rsidR="00877BB4" w:rsidRPr="00877BB4" w:rsidRDefault="00877BB4" w:rsidP="00622FA6">
      <w:pPr>
        <w:pStyle w:val="NoSpacing"/>
        <w:rPr>
          <w:b/>
          <w:bCs/>
        </w:rPr>
      </w:pPr>
      <w:r w:rsidRPr="00877BB4">
        <w:rPr>
          <w:b/>
          <w:bCs/>
        </w:rPr>
        <w:t>THREE</w:t>
      </w:r>
    </w:p>
    <w:p w:rsidR="00877BB4" w:rsidRDefault="00877BB4" w:rsidP="00A8145E">
      <w:pPr>
        <w:pStyle w:val="NoSpacing"/>
      </w:pPr>
      <w:r>
        <w:t xml:space="preserve">Here we have </w:t>
      </w:r>
      <w:r w:rsidR="00B341B5">
        <w:t>POL-44553</w:t>
      </w:r>
      <w:r w:rsidR="00B341B5">
        <w:t xml:space="preserve"> </w:t>
      </w:r>
      <w:r>
        <w:t xml:space="preserve">for </w:t>
      </w:r>
      <w:r w:rsidR="00B341B5">
        <w:t>“</w:t>
      </w:r>
      <w:r w:rsidR="00A8145E" w:rsidRPr="00A8145E">
        <w:t xml:space="preserve">Daughters of </w:t>
      </w:r>
      <w:proofErr w:type="gramStart"/>
      <w:r w:rsidR="00A8145E" w:rsidRPr="00A8145E">
        <w:t>earth :</w:t>
      </w:r>
      <w:proofErr w:type="gramEnd"/>
      <w:r w:rsidR="00A8145E" w:rsidRPr="00A8145E">
        <w:t xml:space="preserve"> feminist science fiction in the twentieth century”</w:t>
      </w:r>
      <w:r>
        <w:t xml:space="preserve"> for type ‘Physical – One Time’ with a price of 10 </w:t>
      </w:r>
      <w:r w:rsidR="00A8145E">
        <w:t>EUR</w:t>
      </w:r>
      <w:r>
        <w:t>.</w:t>
      </w:r>
    </w:p>
    <w:p w:rsidR="00877BB4" w:rsidRDefault="00877BB4" w:rsidP="00622FA6">
      <w:pPr>
        <w:pStyle w:val="NoSpacing"/>
      </w:pPr>
    </w:p>
    <w:p w:rsidR="00877BB4" w:rsidRDefault="00A8145E" w:rsidP="00622FA6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321425" cy="1670050"/>
            <wp:effectExtent l="19050" t="19050" r="22225" b="254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167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14F6" w:rsidRDefault="007814F6" w:rsidP="00622FA6">
      <w:pPr>
        <w:pStyle w:val="NoSpacing"/>
      </w:pPr>
    </w:p>
    <w:p w:rsidR="007814F6" w:rsidRPr="00877BB4" w:rsidRDefault="007814F6" w:rsidP="007814F6">
      <w:pPr>
        <w:pStyle w:val="NoSpacing"/>
        <w:rPr>
          <w:b/>
          <w:bCs/>
        </w:rPr>
      </w:pPr>
      <w:r>
        <w:rPr>
          <w:b/>
          <w:bCs/>
        </w:rPr>
        <w:t>FOUR</w:t>
      </w:r>
    </w:p>
    <w:p w:rsidR="007814F6" w:rsidRDefault="007814F6" w:rsidP="00BF5210">
      <w:pPr>
        <w:pStyle w:val="NoSpacing"/>
      </w:pPr>
      <w:r>
        <w:t xml:space="preserve">Create second order for purchase type ‘Electronic title One Time’.  </w:t>
      </w:r>
    </w:p>
    <w:p w:rsidR="007814F6" w:rsidRDefault="007814F6" w:rsidP="00622FA6">
      <w:pPr>
        <w:pStyle w:val="NoSpacing"/>
      </w:pPr>
    </w:p>
    <w:p w:rsidR="007814F6" w:rsidRDefault="00A8145E" w:rsidP="00622FA6">
      <w:pPr>
        <w:pStyle w:val="NoSpacing"/>
      </w:pPr>
      <w:r>
        <w:rPr>
          <w:noProof/>
        </w:rPr>
        <w:drawing>
          <wp:inline distT="0" distB="0" distL="0" distR="0">
            <wp:extent cx="6329045" cy="3045460"/>
            <wp:effectExtent l="19050" t="19050" r="14605" b="215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3045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814F6" w:rsidRDefault="007814F6" w:rsidP="00622FA6">
      <w:pPr>
        <w:pStyle w:val="NoSpacing"/>
      </w:pPr>
    </w:p>
    <w:p w:rsidR="007814F6" w:rsidRPr="00877BB4" w:rsidRDefault="007814F6" w:rsidP="007814F6">
      <w:pPr>
        <w:pStyle w:val="NoSpacing"/>
        <w:rPr>
          <w:b/>
          <w:bCs/>
        </w:rPr>
      </w:pPr>
      <w:r>
        <w:rPr>
          <w:b/>
          <w:bCs/>
        </w:rPr>
        <w:t>FIVE</w:t>
      </w:r>
    </w:p>
    <w:p w:rsidR="007814F6" w:rsidRDefault="007814F6" w:rsidP="007814F6">
      <w:pPr>
        <w:pStyle w:val="NoSpacing"/>
      </w:pPr>
      <w:r>
        <w:t>The order will have no price or fund.</w:t>
      </w:r>
    </w:p>
    <w:p w:rsidR="007814F6" w:rsidRDefault="007814F6" w:rsidP="007814F6">
      <w:pPr>
        <w:pStyle w:val="NoSpacing"/>
      </w:pPr>
      <w:r>
        <w:t>The supplier (vendor) will be the same as the In the PO Line Details choose Acquisition Method ‘Technical’</w:t>
      </w:r>
    </w:p>
    <w:p w:rsidR="007814F6" w:rsidRDefault="007814F6" w:rsidP="007814F6">
      <w:pPr>
        <w:pStyle w:val="NoSpacing"/>
      </w:pPr>
    </w:p>
    <w:p w:rsidR="007814F6" w:rsidRDefault="00A8145E" w:rsidP="007814F6">
      <w:pPr>
        <w:pStyle w:val="NoSpacing"/>
      </w:pPr>
      <w:r>
        <w:rPr>
          <w:noProof/>
        </w:rPr>
        <w:drawing>
          <wp:inline distT="0" distB="0" distL="0" distR="0">
            <wp:extent cx="2607945" cy="771525"/>
            <wp:effectExtent l="19050" t="19050" r="20955" b="285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771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814F6" w:rsidRDefault="007814F6" w:rsidP="00622FA6">
      <w:pPr>
        <w:pStyle w:val="NoSpacing"/>
      </w:pPr>
    </w:p>
    <w:p w:rsidR="00BF5210" w:rsidRPr="00877BB4" w:rsidRDefault="00BF5210" w:rsidP="00BF5210">
      <w:pPr>
        <w:pStyle w:val="NoSpacing"/>
        <w:rPr>
          <w:b/>
          <w:bCs/>
        </w:rPr>
      </w:pPr>
      <w:r>
        <w:rPr>
          <w:b/>
          <w:bCs/>
        </w:rPr>
        <w:t>SIX</w:t>
      </w:r>
    </w:p>
    <w:p w:rsidR="00BF5210" w:rsidRDefault="00BF5210" w:rsidP="00A8145E">
      <w:pPr>
        <w:pStyle w:val="NoSpacing"/>
      </w:pPr>
      <w:r>
        <w:t xml:space="preserve">Here we have </w:t>
      </w:r>
      <w:r w:rsidR="00A8145E">
        <w:t>POL-44554</w:t>
      </w:r>
      <w:r w:rsidR="00A8145E">
        <w:t xml:space="preserve"> for “</w:t>
      </w:r>
      <w:r w:rsidR="00A8145E" w:rsidRPr="00A8145E">
        <w:t xml:space="preserve">Daughters of </w:t>
      </w:r>
      <w:proofErr w:type="gramStart"/>
      <w:r w:rsidR="00A8145E" w:rsidRPr="00A8145E">
        <w:t>earth :</w:t>
      </w:r>
      <w:proofErr w:type="gramEnd"/>
      <w:r w:rsidR="00A8145E" w:rsidRPr="00A8145E">
        <w:t xml:space="preserve"> feminist science fiction in the twentieth century”</w:t>
      </w:r>
      <w:r>
        <w:t xml:space="preserve"> for type </w:t>
      </w:r>
      <w:r w:rsidR="00A8145E">
        <w:t>“</w:t>
      </w:r>
      <w:r>
        <w:t>Electronic title – One Time</w:t>
      </w:r>
      <w:r w:rsidR="00A8145E">
        <w:t>”</w:t>
      </w:r>
      <w:r>
        <w:t xml:space="preserve"> with  no price </w:t>
      </w:r>
    </w:p>
    <w:p w:rsidR="00BF5210" w:rsidRDefault="00A8145E" w:rsidP="00622FA6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329045" cy="1566545"/>
            <wp:effectExtent l="19050" t="19050" r="14605" b="146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566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F5210" w:rsidRDefault="00BF5210" w:rsidP="00622FA6">
      <w:pPr>
        <w:pStyle w:val="NoSpacing"/>
      </w:pPr>
    </w:p>
    <w:p w:rsidR="00BF5210" w:rsidRPr="00BF5210" w:rsidRDefault="00BF5210" w:rsidP="00622FA6">
      <w:pPr>
        <w:pStyle w:val="NoSpacing"/>
        <w:rPr>
          <w:b/>
          <w:bCs/>
        </w:rPr>
      </w:pPr>
      <w:r w:rsidRPr="00BF5210">
        <w:rPr>
          <w:b/>
          <w:bCs/>
        </w:rPr>
        <w:t>SEVEN</w:t>
      </w:r>
    </w:p>
    <w:p w:rsidR="00BF5210" w:rsidRDefault="00BF5210" w:rsidP="00BF5210">
      <w:pPr>
        <w:pStyle w:val="NoSpacing"/>
      </w:pPr>
      <w:r>
        <w:t>Now switch to the ‘Associated PO Lines’ tab of each order and see that it is related to the order of the different purchase type:</w:t>
      </w:r>
    </w:p>
    <w:p w:rsidR="00BF5210" w:rsidRDefault="00BF5210" w:rsidP="00BF5210">
      <w:pPr>
        <w:pStyle w:val="NoSpacing"/>
      </w:pPr>
    </w:p>
    <w:p w:rsidR="00BF5210" w:rsidRDefault="00BF5210" w:rsidP="00BF5210">
      <w:pPr>
        <w:pStyle w:val="NoSpacing"/>
      </w:pPr>
      <w:r>
        <w:t xml:space="preserve"> </w:t>
      </w:r>
      <w:r w:rsidR="00A8145E">
        <w:rPr>
          <w:noProof/>
        </w:rPr>
        <w:drawing>
          <wp:inline distT="0" distB="0" distL="0" distR="0">
            <wp:extent cx="6329045" cy="2138680"/>
            <wp:effectExtent l="19050" t="19050" r="14605" b="139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2138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F5210" w:rsidRDefault="00BF5210" w:rsidP="00BF5210">
      <w:pPr>
        <w:pStyle w:val="NoSpacing"/>
      </w:pPr>
    </w:p>
    <w:p w:rsidR="00BF5210" w:rsidRDefault="00A8145E" w:rsidP="00BF5210">
      <w:pPr>
        <w:pStyle w:val="NoSpacing"/>
      </w:pPr>
      <w:r>
        <w:rPr>
          <w:noProof/>
        </w:rPr>
        <w:drawing>
          <wp:inline distT="0" distB="0" distL="0" distR="0">
            <wp:extent cx="6321425" cy="1995805"/>
            <wp:effectExtent l="19050" t="19050" r="22225" b="2349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1995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67DA2" w:rsidRDefault="00767DA2" w:rsidP="00BF5210">
      <w:pPr>
        <w:pStyle w:val="NoSpacing"/>
      </w:pPr>
    </w:p>
    <w:p w:rsidR="00A8145E" w:rsidRDefault="00A8145E" w:rsidP="00767DA2">
      <w:pPr>
        <w:rPr>
          <w:rFonts w:asciiTheme="minorHAnsi" w:hAnsiTheme="minorHAnsi" w:cstheme="minorBidi"/>
          <w:b/>
          <w:bCs/>
        </w:rPr>
      </w:pPr>
    </w:p>
    <w:p w:rsidR="00767DA2" w:rsidRDefault="00767DA2" w:rsidP="00767DA2">
      <w:pPr>
        <w:rPr>
          <w:rFonts w:asciiTheme="minorHAnsi" w:hAnsiTheme="minorHAnsi" w:cstheme="minorBidi"/>
          <w:b/>
          <w:bCs/>
        </w:rPr>
      </w:pPr>
      <w:r w:rsidRPr="00767DA2">
        <w:rPr>
          <w:rFonts w:asciiTheme="minorHAnsi" w:hAnsiTheme="minorHAnsi" w:cstheme="minorBidi"/>
          <w:b/>
          <w:bCs/>
        </w:rPr>
        <w:t xml:space="preserve">If using </w:t>
      </w:r>
      <w:r w:rsidRPr="00767DA2">
        <w:rPr>
          <w:rFonts w:asciiTheme="minorHAnsi" w:hAnsiTheme="minorHAnsi" w:cstheme="minorBidi"/>
          <w:b/>
          <w:bCs/>
          <w:u w:val="single"/>
        </w:rPr>
        <w:t>different</w:t>
      </w:r>
      <w:r w:rsidRPr="00767DA2">
        <w:rPr>
          <w:rFonts w:asciiTheme="minorHAnsi" w:hAnsiTheme="minorHAnsi" w:cstheme="minorBidi"/>
          <w:b/>
          <w:bCs/>
        </w:rPr>
        <w:t xml:space="preserve"> bibliographic record</w:t>
      </w:r>
      <w:r>
        <w:rPr>
          <w:rFonts w:asciiTheme="minorHAnsi" w:hAnsiTheme="minorHAnsi" w:cstheme="minorBidi"/>
          <w:b/>
          <w:bCs/>
        </w:rPr>
        <w:t>s</w:t>
      </w:r>
      <w:r w:rsidRPr="00767DA2">
        <w:rPr>
          <w:rFonts w:asciiTheme="minorHAnsi" w:hAnsiTheme="minorHAnsi" w:cstheme="minorBidi"/>
          <w:b/>
          <w:bCs/>
        </w:rPr>
        <w:t xml:space="preserve"> for both orders and</w:t>
      </w:r>
      <w:r>
        <w:rPr>
          <w:rFonts w:asciiTheme="minorHAnsi" w:hAnsiTheme="minorHAnsi" w:cstheme="minorBidi"/>
          <w:b/>
          <w:bCs/>
        </w:rPr>
        <w:t xml:space="preserve"> corresponding</w:t>
      </w:r>
      <w:r w:rsidRPr="00767DA2">
        <w:rPr>
          <w:rFonts w:asciiTheme="minorHAnsi" w:hAnsiTheme="minorHAnsi" w:cstheme="minorBidi"/>
          <w:b/>
          <w:bCs/>
        </w:rPr>
        <w:t xml:space="preserve"> types of inventory</w:t>
      </w:r>
      <w:r>
        <w:rPr>
          <w:rFonts w:asciiTheme="minorHAnsi" w:hAnsiTheme="minorHAnsi" w:cstheme="minorBidi"/>
          <w:b/>
          <w:bCs/>
        </w:rPr>
        <w:t>:</w:t>
      </w:r>
    </w:p>
    <w:p w:rsidR="00767DA2" w:rsidRDefault="00767DA2" w:rsidP="00BF5210">
      <w:pPr>
        <w:pStyle w:val="NoSpacing"/>
      </w:pPr>
    </w:p>
    <w:p w:rsidR="00767DA2" w:rsidRPr="00B34C85" w:rsidRDefault="00767DA2" w:rsidP="00BF5210">
      <w:pPr>
        <w:pStyle w:val="NoSpacing"/>
        <w:rPr>
          <w:b/>
          <w:bCs/>
        </w:rPr>
      </w:pPr>
      <w:r w:rsidRPr="00B34C85">
        <w:rPr>
          <w:b/>
          <w:bCs/>
        </w:rPr>
        <w:t>ONE</w:t>
      </w:r>
    </w:p>
    <w:p w:rsidR="00B34C85" w:rsidRDefault="00767DA2" w:rsidP="00B34C85">
      <w:pPr>
        <w:pStyle w:val="NoSpacing"/>
      </w:pPr>
      <w:r>
        <w:t xml:space="preserve">Here we have two orders, one for electronic and </w:t>
      </w:r>
      <w:r w:rsidR="00B34C85">
        <w:t>one</w:t>
      </w:r>
      <w:r>
        <w:t xml:space="preserve"> for </w:t>
      </w:r>
      <w:r w:rsidR="00B34C85">
        <w:t>physical</w:t>
      </w:r>
      <w:r>
        <w:t xml:space="preserve">.  </w:t>
      </w:r>
    </w:p>
    <w:p w:rsidR="00767DA2" w:rsidRDefault="00767DA2" w:rsidP="00B34C85">
      <w:pPr>
        <w:pStyle w:val="NoSpacing"/>
      </w:pPr>
      <w:r>
        <w:lastRenderedPageBreak/>
        <w:t xml:space="preserve">They each have a </w:t>
      </w:r>
      <w:r w:rsidR="00A8145E">
        <w:t>different bibliographic record but the same title: “</w:t>
      </w:r>
      <w:r w:rsidR="00A8145E">
        <w:rPr>
          <w:rStyle w:val="Strong"/>
        </w:rPr>
        <w:t>Fe</w:t>
      </w:r>
      <w:r w:rsidR="00A8145E">
        <w:rPr>
          <w:rStyle w:val="Strong"/>
        </w:rPr>
        <w:t>minism and Renaissance studies”</w:t>
      </w:r>
    </w:p>
    <w:p w:rsidR="00767DA2" w:rsidRDefault="00767DA2" w:rsidP="00BF5210">
      <w:pPr>
        <w:pStyle w:val="NoSpacing"/>
      </w:pPr>
    </w:p>
    <w:p w:rsidR="00B34C85" w:rsidRDefault="00B34C85" w:rsidP="00A8145E">
      <w:pPr>
        <w:pStyle w:val="NoSpacing"/>
      </w:pPr>
      <w:r>
        <w:t>POL-4</w:t>
      </w:r>
      <w:r w:rsidR="00A8145E">
        <w:t>4555</w:t>
      </w:r>
      <w:r>
        <w:t xml:space="preserve"> is for electronic and is ‘technical’ with no price</w:t>
      </w:r>
    </w:p>
    <w:p w:rsidR="00B34C85" w:rsidRDefault="00B34C85" w:rsidP="003A2595">
      <w:pPr>
        <w:pStyle w:val="NoSpacing"/>
      </w:pPr>
      <w:r>
        <w:t>POL-4</w:t>
      </w:r>
      <w:r w:rsidR="00A8145E">
        <w:t xml:space="preserve">4556 </w:t>
      </w:r>
      <w:r>
        <w:t xml:space="preserve">is for physical and is ‘purchase’ with for </w:t>
      </w:r>
      <w:r w:rsidR="003A2595">
        <w:t>1</w:t>
      </w:r>
      <w:r>
        <w:t xml:space="preserve">0.00 </w:t>
      </w:r>
      <w:r w:rsidR="003A2595">
        <w:t>EUR</w:t>
      </w:r>
    </w:p>
    <w:p w:rsidR="00B34C85" w:rsidRDefault="00B34C85" w:rsidP="00BF5210">
      <w:pPr>
        <w:pStyle w:val="NoSpacing"/>
      </w:pPr>
      <w:r>
        <w:t xml:space="preserve"> </w:t>
      </w:r>
    </w:p>
    <w:p w:rsidR="00767DA2" w:rsidRDefault="003A2595" w:rsidP="00BF5210">
      <w:pPr>
        <w:pStyle w:val="NoSpacing"/>
      </w:pPr>
      <w:r>
        <w:rPr>
          <w:noProof/>
        </w:rPr>
        <w:drawing>
          <wp:inline distT="0" distB="0" distL="0" distR="0">
            <wp:extent cx="6329045" cy="1574165"/>
            <wp:effectExtent l="19050" t="19050" r="14605" b="260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574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34C85" w:rsidRDefault="00B34C85" w:rsidP="00BF5210">
      <w:pPr>
        <w:pStyle w:val="NoSpacing"/>
      </w:pPr>
    </w:p>
    <w:p w:rsidR="00B34C85" w:rsidRDefault="003A2595" w:rsidP="00BF5210">
      <w:pPr>
        <w:pStyle w:val="NoSpacing"/>
      </w:pPr>
      <w:r>
        <w:rPr>
          <w:noProof/>
        </w:rPr>
        <w:drawing>
          <wp:inline distT="0" distB="0" distL="0" distR="0">
            <wp:extent cx="6329045" cy="1423035"/>
            <wp:effectExtent l="19050" t="19050" r="14605" b="247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423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34C85" w:rsidRDefault="00B34C85" w:rsidP="00BF5210">
      <w:pPr>
        <w:pStyle w:val="NoSpacing"/>
      </w:pPr>
    </w:p>
    <w:p w:rsidR="00B34C85" w:rsidRPr="00B34C85" w:rsidRDefault="00B34C85" w:rsidP="00BF5210">
      <w:pPr>
        <w:pStyle w:val="NoSpacing"/>
        <w:rPr>
          <w:b/>
          <w:bCs/>
        </w:rPr>
      </w:pPr>
      <w:r w:rsidRPr="00B34C85">
        <w:rPr>
          <w:b/>
          <w:bCs/>
        </w:rPr>
        <w:t>TWO</w:t>
      </w:r>
    </w:p>
    <w:p w:rsidR="00B34C85" w:rsidRDefault="00B34C85" w:rsidP="00BF5210">
      <w:pPr>
        <w:pStyle w:val="NoSpacing"/>
      </w:pPr>
    </w:p>
    <w:p w:rsidR="00B34C85" w:rsidRDefault="00B34C85" w:rsidP="003A2595">
      <w:pPr>
        <w:pStyle w:val="NoSpacing"/>
        <w:rPr>
          <w:rStyle w:val="spacerafter1em"/>
        </w:rPr>
      </w:pPr>
      <w:r>
        <w:t xml:space="preserve">We edit the physical </w:t>
      </w:r>
      <w:r w:rsidRPr="00B34C85">
        <w:rPr>
          <w:rStyle w:val="spacerafter1em"/>
        </w:rPr>
        <w:t>POL-</w:t>
      </w:r>
      <w:r w:rsidR="003A2595">
        <w:rPr>
          <w:rStyle w:val="spacerafter1em"/>
        </w:rPr>
        <w:t>44556</w:t>
      </w:r>
      <w:r>
        <w:rPr>
          <w:rStyle w:val="spacerafter1em"/>
        </w:rPr>
        <w:t xml:space="preserve"> and in the ‘additional’ section we manually link it to associated POL-</w:t>
      </w:r>
      <w:r w:rsidR="003A2595">
        <w:rPr>
          <w:rStyle w:val="spacerafter1em"/>
        </w:rPr>
        <w:t>44555 (the electronic POL)</w:t>
      </w:r>
    </w:p>
    <w:p w:rsidR="003A2595" w:rsidRDefault="003A2595" w:rsidP="003A2595">
      <w:pPr>
        <w:pStyle w:val="NoSpacing"/>
        <w:rPr>
          <w:rStyle w:val="spacerafter1em"/>
        </w:rPr>
      </w:pPr>
    </w:p>
    <w:p w:rsidR="00B34C85" w:rsidRDefault="00B34C85" w:rsidP="00B34C85">
      <w:pPr>
        <w:pStyle w:val="NoSpacing"/>
      </w:pPr>
    </w:p>
    <w:p w:rsidR="00B34C85" w:rsidRDefault="003A2595" w:rsidP="00B34C85">
      <w:pPr>
        <w:pStyle w:val="NoSpacing"/>
      </w:pPr>
      <w:r>
        <w:rPr>
          <w:noProof/>
        </w:rPr>
        <w:drawing>
          <wp:inline distT="0" distB="0" distL="0" distR="0">
            <wp:extent cx="5732780" cy="1670050"/>
            <wp:effectExtent l="19050" t="19050" r="20320" b="254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67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3A2595" w:rsidRDefault="003A2595" w:rsidP="00B34C85">
      <w:pPr>
        <w:pStyle w:val="NoSpacing"/>
      </w:pPr>
    </w:p>
    <w:p w:rsidR="003A2595" w:rsidRDefault="003A2595" w:rsidP="00B34C85">
      <w:pPr>
        <w:pStyle w:val="NoSpacing"/>
      </w:pPr>
    </w:p>
    <w:p w:rsidR="00B34C85" w:rsidRPr="00B34C85" w:rsidRDefault="00B34C85" w:rsidP="00B34C85">
      <w:pPr>
        <w:pStyle w:val="NoSpacing"/>
        <w:rPr>
          <w:b/>
          <w:bCs/>
        </w:rPr>
      </w:pPr>
      <w:r w:rsidRPr="00B34C85">
        <w:rPr>
          <w:b/>
          <w:bCs/>
        </w:rPr>
        <w:t>THREE</w:t>
      </w:r>
    </w:p>
    <w:p w:rsidR="00B34C85" w:rsidRDefault="00B34C85" w:rsidP="00B34C85">
      <w:pPr>
        <w:pStyle w:val="NoSpacing"/>
      </w:pPr>
    </w:p>
    <w:p w:rsidR="00B34C85" w:rsidRDefault="00043033" w:rsidP="00043033">
      <w:pPr>
        <w:pStyle w:val="NoSpacing"/>
      </w:pPr>
      <w:r>
        <w:t>Now in POL-44556 (</w:t>
      </w:r>
      <w:proofErr w:type="spellStart"/>
      <w:r>
        <w:t>physcial</w:t>
      </w:r>
      <w:proofErr w:type="spellEnd"/>
      <w:r>
        <w:t xml:space="preserve">) we have an </w:t>
      </w:r>
      <w:proofErr w:type="spellStart"/>
      <w:r>
        <w:t>associatd</w:t>
      </w:r>
      <w:proofErr w:type="spellEnd"/>
      <w:r>
        <w:t xml:space="preserve"> POL which is POL-44555 (electronic).</w:t>
      </w:r>
    </w:p>
    <w:p w:rsidR="00043033" w:rsidRDefault="00043033" w:rsidP="00043033">
      <w:pPr>
        <w:pStyle w:val="NoSpacing"/>
      </w:pPr>
      <w:r>
        <w:lastRenderedPageBreak/>
        <w:t xml:space="preserve">In POL-44555 the associated POL is </w:t>
      </w:r>
      <w:r>
        <w:rPr>
          <w:b/>
          <w:bCs/>
        </w:rPr>
        <w:t>automatically</w:t>
      </w:r>
      <w:r>
        <w:t xml:space="preserve"> added from the additional section associated POL of POL-44556</w:t>
      </w:r>
    </w:p>
    <w:p w:rsidR="00043033" w:rsidRDefault="00043033" w:rsidP="00043033">
      <w:pPr>
        <w:pStyle w:val="NoSpacing"/>
      </w:pPr>
    </w:p>
    <w:p w:rsidR="00043033" w:rsidRPr="00043033" w:rsidRDefault="00043033" w:rsidP="00043033">
      <w:pPr>
        <w:pStyle w:val="NoSpacing"/>
      </w:pPr>
    </w:p>
    <w:p w:rsidR="00B34C85" w:rsidRDefault="00043033" w:rsidP="00B34C85">
      <w:pPr>
        <w:pStyle w:val="NoSpacing"/>
      </w:pPr>
      <w:r>
        <w:rPr>
          <w:noProof/>
        </w:rPr>
        <w:drawing>
          <wp:inline distT="0" distB="0" distL="0" distR="0">
            <wp:extent cx="6329045" cy="1964055"/>
            <wp:effectExtent l="19050" t="19050" r="14605" b="171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964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34C85" w:rsidRDefault="00B34C85" w:rsidP="00B34C85">
      <w:pPr>
        <w:pStyle w:val="NoSpacing"/>
      </w:pPr>
    </w:p>
    <w:p w:rsidR="00B34C85" w:rsidRDefault="00B34C85" w:rsidP="00B34C85">
      <w:pPr>
        <w:pStyle w:val="NoSpacing"/>
      </w:pPr>
    </w:p>
    <w:p w:rsidR="00B34C85" w:rsidRPr="00BF5210" w:rsidRDefault="00B34C85" w:rsidP="00B34C85">
      <w:pPr>
        <w:pStyle w:val="NoSpacing"/>
      </w:pPr>
    </w:p>
    <w:sectPr w:rsidR="00B34C85" w:rsidRPr="00BF5210" w:rsidSect="007814F6">
      <w:footerReference w:type="default" r:id="rId21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86" w:rsidRDefault="007A6686" w:rsidP="001E0A2F">
      <w:r>
        <w:separator/>
      </w:r>
    </w:p>
  </w:endnote>
  <w:endnote w:type="continuationSeparator" w:id="0">
    <w:p w:rsidR="007A6686" w:rsidRDefault="007A6686" w:rsidP="001E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A2F" w:rsidRPr="00247F1B" w:rsidRDefault="001E0A2F" w:rsidP="001E0A2F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E0A2F" w:rsidRDefault="001E0A2F" w:rsidP="001E0A2F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86" w:rsidRDefault="007A6686" w:rsidP="001E0A2F">
      <w:r>
        <w:separator/>
      </w:r>
    </w:p>
  </w:footnote>
  <w:footnote w:type="continuationSeparator" w:id="0">
    <w:p w:rsidR="007A6686" w:rsidRDefault="007A6686" w:rsidP="001E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94E"/>
    <w:multiLevelType w:val="hybridMultilevel"/>
    <w:tmpl w:val="5E58E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98F"/>
    <w:multiLevelType w:val="hybridMultilevel"/>
    <w:tmpl w:val="5E58E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6"/>
    <w:rsid w:val="00043033"/>
    <w:rsid w:val="000C0F3E"/>
    <w:rsid w:val="001744AD"/>
    <w:rsid w:val="00174D8A"/>
    <w:rsid w:val="0019712D"/>
    <w:rsid w:val="001A35E4"/>
    <w:rsid w:val="001C4AF8"/>
    <w:rsid w:val="001D0EFD"/>
    <w:rsid w:val="001E0A2F"/>
    <w:rsid w:val="001E140A"/>
    <w:rsid w:val="001F274D"/>
    <w:rsid w:val="002133F4"/>
    <w:rsid w:val="00237582"/>
    <w:rsid w:val="002F00BC"/>
    <w:rsid w:val="0034115D"/>
    <w:rsid w:val="003A2595"/>
    <w:rsid w:val="003C2111"/>
    <w:rsid w:val="003E5E21"/>
    <w:rsid w:val="00453548"/>
    <w:rsid w:val="004A6B5A"/>
    <w:rsid w:val="00507D1A"/>
    <w:rsid w:val="00532EC1"/>
    <w:rsid w:val="00536153"/>
    <w:rsid w:val="00546977"/>
    <w:rsid w:val="005940C7"/>
    <w:rsid w:val="005D4EAE"/>
    <w:rsid w:val="005F377A"/>
    <w:rsid w:val="00622FA6"/>
    <w:rsid w:val="006602CA"/>
    <w:rsid w:val="0067441E"/>
    <w:rsid w:val="0069185C"/>
    <w:rsid w:val="00693715"/>
    <w:rsid w:val="00707E1F"/>
    <w:rsid w:val="007654BD"/>
    <w:rsid w:val="00767DA2"/>
    <w:rsid w:val="007814F6"/>
    <w:rsid w:val="007A6686"/>
    <w:rsid w:val="007E54E4"/>
    <w:rsid w:val="00836376"/>
    <w:rsid w:val="0085628D"/>
    <w:rsid w:val="00877BB4"/>
    <w:rsid w:val="008F476B"/>
    <w:rsid w:val="008F5FE2"/>
    <w:rsid w:val="00933142"/>
    <w:rsid w:val="00940D5E"/>
    <w:rsid w:val="009A1619"/>
    <w:rsid w:val="009A77E0"/>
    <w:rsid w:val="009F3DE6"/>
    <w:rsid w:val="00A37EF9"/>
    <w:rsid w:val="00A46112"/>
    <w:rsid w:val="00A8145E"/>
    <w:rsid w:val="00B323D9"/>
    <w:rsid w:val="00B341B5"/>
    <w:rsid w:val="00B34C85"/>
    <w:rsid w:val="00B522B4"/>
    <w:rsid w:val="00BE2A51"/>
    <w:rsid w:val="00BF5210"/>
    <w:rsid w:val="00C440D9"/>
    <w:rsid w:val="00CC0A37"/>
    <w:rsid w:val="00D04208"/>
    <w:rsid w:val="00D3390A"/>
    <w:rsid w:val="00D61F35"/>
    <w:rsid w:val="00D63D79"/>
    <w:rsid w:val="00DE293A"/>
    <w:rsid w:val="00E07C0A"/>
    <w:rsid w:val="00F553AC"/>
    <w:rsid w:val="00F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C61AB-0B0B-473A-AFFB-B5AB24C4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A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9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5C"/>
    <w:rPr>
      <w:rFonts w:ascii="Tahoma" w:hAnsi="Tahoma" w:cs="Tahoma"/>
      <w:sz w:val="16"/>
      <w:szCs w:val="16"/>
    </w:rPr>
  </w:style>
  <w:style w:type="character" w:customStyle="1" w:styleId="spacerafter1em">
    <w:name w:val="spacer_after_1em"/>
    <w:basedOn w:val="DefaultParagraphFont"/>
    <w:rsid w:val="00B34C85"/>
  </w:style>
  <w:style w:type="character" w:styleId="Hyperlink">
    <w:name w:val="Hyperlink"/>
    <w:basedOn w:val="DefaultParagraphFont"/>
    <w:uiPriority w:val="99"/>
    <w:semiHidden/>
    <w:unhideWhenUsed/>
    <w:rsid w:val="00B34C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5E4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A35E4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1A35E4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E0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A2F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34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2</cp:revision>
  <dcterms:created xsi:type="dcterms:W3CDTF">2017-08-02T15:00:00Z</dcterms:created>
  <dcterms:modified xsi:type="dcterms:W3CDTF">2017-08-02T15:00:00Z</dcterms:modified>
</cp:coreProperties>
</file>